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1F2D8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1F2D89">
        <w:rPr>
          <w:rFonts w:ascii="Times New Roman Bold" w:eastAsia="Times New Roman" w:hAnsi="Times New Roman Bold" w:cs="IRMitra"/>
          <w:b/>
          <w:bCs/>
          <w:color w:val="3366CC"/>
          <w:spacing w:val="-2"/>
          <w:kern w:val="0"/>
          <w:sz w:val="24"/>
          <w:szCs w:val="28"/>
          <w14:ligatures w14:val="none"/>
        </w:rPr>
        <w:t>Extended Abstract</w:t>
      </w:r>
    </w:p>
    <w:p w14:paraId="285E70A4" w14:textId="77777777" w:rsidR="00BA047A" w:rsidRPr="001F2D89" w:rsidRDefault="005C76D2" w:rsidP="00AF3D09">
      <w:pPr>
        <w:spacing w:after="0" w:line="240" w:lineRule="auto"/>
        <w:jc w:val="both"/>
        <w:outlineLvl w:val="1"/>
        <w:rPr>
          <w:rFonts w:ascii="Times New Roman" w:eastAsia="Times New Roman" w:hAnsi="Times New Roman" w:cs="Times New Roman"/>
          <w:spacing w:val="-4"/>
          <w:kern w:val="0"/>
          <w14:ligatures w14:val="none"/>
        </w:rPr>
      </w:pPr>
      <w:r w:rsidRPr="001F2D89">
        <w:rPr>
          <w:rFonts w:ascii="Times New Roman Bold" w:eastAsia="Times New Roman" w:hAnsi="Times New Roman Bold" w:cs="IRMitra"/>
          <w:b/>
          <w:bCs/>
          <w:color w:val="3366CC"/>
          <w:spacing w:val="-4"/>
          <w:kern w:val="0"/>
          <w14:ligatures w14:val="none"/>
        </w:rPr>
        <w:t>Introduction:</w:t>
      </w:r>
      <w:r w:rsidRPr="001F2D89">
        <w:rPr>
          <w:rFonts w:ascii="Times New Roman" w:eastAsia="Times New Roman" w:hAnsi="Times New Roman" w:cs="Times New Roman"/>
          <w:b/>
          <w:bCs/>
          <w:spacing w:val="-4"/>
          <w:kern w:val="0"/>
          <w14:ligatures w14:val="none"/>
        </w:rPr>
        <w:t xml:space="preserve"> </w:t>
      </w:r>
      <w:r w:rsidR="00BA047A" w:rsidRPr="001F2D89">
        <w:rPr>
          <w:rFonts w:ascii="Times New Roman" w:eastAsia="Times New Roman" w:hAnsi="Times New Roman" w:cs="Times New Roman"/>
          <w:spacing w:val="-4"/>
          <w:kern w:val="0"/>
          <w14:ligatures w14:val="none"/>
        </w:rPr>
        <w:t>Educational systems serve as fundamental pillars of societal development, shaping future generations and preparing them for contemporary challenges. Within this process, primary school teachers occupy a central position as main implementers of educational programs, responsible not only for content transmission but also for serving as behavioral models and emotional supporters for students (Zeinabadi &amp; Khebreh, 2019). In an era of rapid transformations, teachers need comprehensive cognitive, emotional, and behavioral competencies to sustain both students' development and their own professional growth (Mousavi, 2023).</w:t>
      </w:r>
    </w:p>
    <w:p w14:paraId="4A140DD5"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Teachers' professional skills—encompassing decision-making abilities, educational problem-solving, stressful situation management, and professional flexibility—constitute primary tools for effectively guiding teaching-learning activities (Mohammadi et al., 2022). However, research indicates many teachers face challenges including burnout and insufficient preparedness for diverse student needs (Vafa et al., 2014). Resilience-based curriculum planning can serve as an effective mechanism for enhancing education quality, emphasizing inner capacities, flexibility, and emotional management (Jadidi Mohammadabadi, 2023).</w:t>
      </w:r>
    </w:p>
    <w:p w14:paraId="7E637E70" w14:textId="77777777" w:rsidR="00BA047A" w:rsidRPr="001F2D89" w:rsidRDefault="00BA047A" w:rsidP="00AF3D09">
      <w:pPr>
        <w:spacing w:after="0" w:line="240" w:lineRule="auto"/>
        <w:ind w:firstLine="284"/>
        <w:jc w:val="both"/>
        <w:rPr>
          <w:rFonts w:ascii="Times New Roman" w:eastAsia="Times New Roman" w:hAnsi="Times New Roman" w:cs="Times New Roman"/>
          <w:spacing w:val="-2"/>
          <w:kern w:val="0"/>
          <w14:ligatures w14:val="none"/>
        </w:rPr>
      </w:pPr>
      <w:r w:rsidRPr="001F2D89">
        <w:rPr>
          <w:rFonts w:ascii="Times New Roman" w:eastAsia="Times New Roman" w:hAnsi="Times New Roman" w:cs="Times New Roman"/>
          <w:spacing w:val="-2"/>
          <w:kern w:val="0"/>
          <w14:ligatures w14:val="none"/>
        </w:rPr>
        <w:t>Educational resilience, defined as positive adaptation capacity in facing challenges, must be woven into curricula (Masten, 2001). Resilience-based curriculum planning extends beyond traditional frameworks to strengthen inner capacities and problem-solving abilities (Mousavi, 2023). Achieving this requires identifying underlying factors at three levels: individual factors (teacher attitudes/knowledge), organizational factors (school culture/support), and programmatic factors (design/learning activities) (Dejban et al., 2019; Brunetti, 2006).</w:t>
      </w:r>
    </w:p>
    <w:p w14:paraId="49F69BA1" w14:textId="77777777" w:rsidR="00BA047A" w:rsidRPr="001F2D89" w:rsidRDefault="00BA047A" w:rsidP="00AF3D09">
      <w:pPr>
        <w:spacing w:after="0" w:line="240" w:lineRule="auto"/>
        <w:ind w:firstLine="284"/>
        <w:jc w:val="both"/>
        <w:rPr>
          <w:rFonts w:ascii="Times New Roman" w:eastAsia="Times New Roman" w:hAnsi="Times New Roman" w:cs="Times New Roman"/>
          <w:spacing w:val="-4"/>
          <w:kern w:val="0"/>
          <w14:ligatures w14:val="none"/>
        </w:rPr>
      </w:pPr>
      <w:r w:rsidRPr="001F2D89">
        <w:rPr>
          <w:rFonts w:ascii="Times New Roman" w:eastAsia="Times New Roman" w:hAnsi="Times New Roman" w:cs="Times New Roman"/>
          <w:spacing w:val="-4"/>
          <w:kern w:val="0"/>
          <w14:ligatures w14:val="none"/>
        </w:rPr>
        <w:t>Despite recognized importance, the current educational system lacks comprehensive understanding of how these factors interact (Fu &amp; Zhang, 2024). Most interventions have been fragmented, neglecting emotional literacy's mediating role in resilience-oriented programs (Mousavi, 2023; OECD, 2019). The absence of a comprehensive scientific model for Iran's primary education context necessitates foundational research (Day &amp; Gu, 2014).</w:t>
      </w:r>
    </w:p>
    <w:p w14:paraId="14BD3C98"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Previous studies demonstrate individual, organizational, and programmatic factors significantly influence curriculum planning quality (Shariatmadari et al., 2020; Skaalvik &amp; Skaalvik, 2018). Educational resilience research has identified resilient teacher characteristics (Behrangi &amp; Naderi, 2022; Gu &amp; Day, 2013). However, most studies addressed curriculum planning under normal conditions, with less attention to resilience-based planning during crisis situations (Mutch, 2014). Emotional literacy's mediating role connecting underlying curriculum factors to primary teachers' professional skills remains untested in Iran's cultural context.</w:t>
      </w:r>
    </w:p>
    <w:p w14:paraId="3ACA432C"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The theoretical framework rests on three pillars: (a) resilient curriculum theory (Henderson &amp; Milstein, 2003); (b) Steiner's emotional literacy model (Steiner, 1997); and (c) contemporary teacher education approaches viewing professional skills as combinations of knowledge, practical skills, and emotional competencies (Darling-Hammond, 2017; Abedi et al., 2019). This study tests, for the first time, a model with emotional literacy mediating the relationship between underlying factors and professional skills.</w:t>
      </w:r>
    </w:p>
    <w:p w14:paraId="45F57C89" w14:textId="4EB807C5" w:rsidR="005C76D2"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Based on this conceptual model, hypotheses were formulated: (H1) Underlying factors directly affect resilience-based curriculum planning; (H2) Resilience-based curriculum planning directly affects professional skills; (H3) Emotional literacy mediates the relationship between underlying factors and professional skills.</w:t>
      </w:r>
    </w:p>
    <w:p w14:paraId="52B5CFA5" w14:textId="77777777" w:rsidR="00BA047A" w:rsidRPr="001F2D89" w:rsidRDefault="005C76D2" w:rsidP="00AF3D09">
      <w:pPr>
        <w:spacing w:before="120" w:after="0" w:line="240" w:lineRule="auto"/>
        <w:jc w:val="both"/>
        <w:outlineLvl w:val="1"/>
        <w:rPr>
          <w:rFonts w:ascii="Times New Roman" w:eastAsia="Times New Roman" w:hAnsi="Times New Roman" w:cs="Times New Roman"/>
          <w:kern w:val="0"/>
          <w14:ligatures w14:val="none"/>
        </w:rPr>
      </w:pPr>
      <w:r w:rsidRPr="001F2D89">
        <w:rPr>
          <w:rFonts w:ascii="Times New Roman Bold" w:eastAsia="Times New Roman" w:hAnsi="Times New Roman Bold" w:cs="IRMitra"/>
          <w:b/>
          <w:bCs/>
          <w:color w:val="4472C4"/>
          <w:kern w:val="0"/>
          <w14:ligatures w14:val="none"/>
        </w:rPr>
        <w:t>Methodology</w:t>
      </w:r>
      <w:r w:rsidRPr="001F2D89">
        <w:rPr>
          <w:rFonts w:ascii="Times New Roman Bold" w:eastAsia="Times New Roman" w:hAnsi="Times New Roman Bold" w:cs="IRMitra"/>
          <w:b/>
          <w:bCs/>
          <w:color w:val="3366CC"/>
          <w:kern w:val="0"/>
          <w14:ligatures w14:val="none"/>
        </w:rPr>
        <w:t xml:space="preserve">: </w:t>
      </w:r>
      <w:r w:rsidR="00BA047A" w:rsidRPr="001F2D89">
        <w:rPr>
          <w:rFonts w:ascii="Times New Roman" w:eastAsia="Times New Roman" w:hAnsi="Times New Roman" w:cs="Times New Roman"/>
          <w:kern w:val="0"/>
          <w14:ligatures w14:val="none"/>
        </w:rPr>
        <w:t>This applied, descriptive-correlational study employed quantitative methods using Structural Equation Modeling (SEM) (Karakus et al., 2024). The statistical population comprised all primary school teachers in Kerman during 2024-2025 with minimum three years experience (approximately 12,000 individuals). Sample size was calculated using Cochran's formula as 384 participants. Proportional stratified random sampling based on geographical region and school type was employed. Inclusion criteria: primary employment, minimum three years experience, willingness to participate. Exclusion criterion: incomplete questionnaire completion.</w:t>
      </w:r>
    </w:p>
    <w:p w14:paraId="23EBC31C"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Three instruments were utilized: (1) Connor-Davidson Resilience Scale (CD-RISC): 25 items, five-point Likert scale, Persian validated version (Mohammadi, 2005), content validity CVR=0.82, Cronbach's alpha=0.93 (Connor &amp; Davidson, 2003). (2) Bar-On Emotional Literacy Questionnaire (EQ-i): Original 117 items, after expert modifications 90 items retained, CVR 0.78-0.92, Cronbach's alpha=0.89 (Bar-On, 1997). (3) Researcher-Developed Teacher Professional Skills Questionnaire: Based on qualitative findings (15 expert interviews, thematic coding) and theoretical foundations (Danielson, 2007; Shulman, 1987), 35 items across five dimensions, CVI=0.86, Cronbach's alpha=0.87, CR&gt;0.80. Separate researcher-developed questionnaire for resilience-based curriculum planning underlying factors (32 items, Cronbach's alpha=0.93).</w:t>
      </w:r>
    </w:p>
    <w:p w14:paraId="604028F5" w14:textId="26A8DEAB" w:rsidR="005C76D2" w:rsidRPr="001F2D89" w:rsidRDefault="00BA047A" w:rsidP="00AF3D09">
      <w:pPr>
        <w:spacing w:after="0" w:line="240" w:lineRule="auto"/>
        <w:ind w:firstLine="284"/>
        <w:jc w:val="both"/>
        <w:rPr>
          <w:rFonts w:ascii="Times New Roman" w:eastAsia="Times New Roman" w:hAnsi="Times New Roman" w:cs="Times New Roman"/>
          <w:spacing w:val="-2"/>
          <w:kern w:val="0"/>
          <w14:ligatures w14:val="none"/>
        </w:rPr>
      </w:pPr>
      <w:r w:rsidRPr="001F2D89">
        <w:rPr>
          <w:rFonts w:ascii="Times New Roman" w:eastAsia="Times New Roman" w:hAnsi="Times New Roman" w:cs="Times New Roman"/>
          <w:kern w:val="0"/>
          <w14:ligatures w14:val="none"/>
        </w:rPr>
        <w:t>Questionnaires were administered in group settings. Research objectives and confidentiality were explained, written informed consent obtained. Completion time: 30-45 minutes. Of 400 distributed, 384 (96% return rate) were analyzable. Data analyzed via SPSS 26 and AMOS 24</w:t>
      </w:r>
      <w:r w:rsidR="00D24280" w:rsidRPr="001F2D89">
        <w:rPr>
          <w:rFonts w:ascii="Times New Roman" w:eastAsia="Times New Roman" w:hAnsi="Times New Roman" w:cs="Times New Roman"/>
          <w:kern w:val="0"/>
          <w14:ligatures w14:val="none"/>
        </w:rPr>
        <w:t>.</w:t>
      </w:r>
    </w:p>
    <w:p w14:paraId="5DE895A6" w14:textId="77777777" w:rsidR="00BA047A" w:rsidRPr="001F2D89" w:rsidRDefault="00BA047A" w:rsidP="00AF3D09">
      <w:pPr>
        <w:spacing w:before="120" w:after="0" w:line="240" w:lineRule="auto"/>
        <w:jc w:val="both"/>
        <w:outlineLvl w:val="1"/>
        <w:rPr>
          <w:rFonts w:ascii="Times New Roman" w:eastAsia="Times New Roman" w:hAnsi="Times New Roman" w:cs="Times New Roman"/>
          <w:kern w:val="0"/>
          <w14:ligatures w14:val="none"/>
        </w:rPr>
      </w:pPr>
      <w:r w:rsidRPr="001F2D89">
        <w:rPr>
          <w:rFonts w:ascii="Times New Roman Bold" w:eastAsia="Times New Roman" w:hAnsi="Times New Roman Bold" w:cs="IRMitra"/>
          <w:b/>
          <w:bCs/>
          <w:color w:val="3366CC"/>
          <w:spacing w:val="-2"/>
          <w:kern w:val="0"/>
          <w14:ligatures w14:val="none"/>
        </w:rPr>
        <w:lastRenderedPageBreak/>
        <w:t>Findings</w:t>
      </w:r>
      <w:r w:rsidR="005C76D2" w:rsidRPr="001F2D89">
        <w:rPr>
          <w:rFonts w:ascii="Times New Roman" w:eastAsia="Calibri" w:hAnsi="Times New Roman" w:cs="Times New Roman"/>
          <w:b/>
          <w:bCs/>
          <w:color w:val="4472C4"/>
          <w:spacing w:val="-2"/>
          <w:kern w:val="0"/>
          <w14:ligatures w14:val="none"/>
        </w:rPr>
        <w:t xml:space="preserve">: </w:t>
      </w:r>
      <w:r w:rsidRPr="001F2D89">
        <w:rPr>
          <w:rFonts w:ascii="Times New Roman" w:eastAsia="Times New Roman" w:hAnsi="Times New Roman" w:cs="Times New Roman"/>
          <w:kern w:val="0"/>
          <w14:ligatures w14:val="none"/>
        </w:rPr>
        <w:t>Normality examination showed all variables within acceptable range (±2). Multicollinearity assessment (VIF&lt;2, Tolerance&gt;0.1) revealed no issues. Sample size of 384 exceeded recommendations (Kline, 2016; Hair et al., 2020). Reliability: CD-RISC α=0.93; Bar-On α=0.89; Professional Skills α=0.87.</w:t>
      </w:r>
    </w:p>
    <w:p w14:paraId="3EC1E170"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Exploratory Factor Analysis (EFA): KMO=0.89, Bartlett's test significant (p&lt;0.001). Results revealed three factors for underlying factors (individual, organizational, programmatic) and five factors for professional skills. All loadings&gt;0.40 with no cross-loadings.</w:t>
      </w:r>
    </w:p>
    <w:p w14:paraId="2EF26140" w14:textId="77777777" w:rsidR="00BA047A" w:rsidRPr="001F2D89" w:rsidRDefault="00BA047A" w:rsidP="00AF3D09">
      <w:pPr>
        <w:spacing w:after="0" w:line="240" w:lineRule="auto"/>
        <w:ind w:firstLine="284"/>
        <w:jc w:val="both"/>
        <w:rPr>
          <w:rFonts w:ascii="Times New Roman" w:eastAsia="Times New Roman" w:hAnsi="Times New Roman" w:cs="Times New Roman"/>
          <w:spacing w:val="-2"/>
          <w:kern w:val="0"/>
          <w14:ligatures w14:val="none"/>
        </w:rPr>
      </w:pPr>
      <w:r w:rsidRPr="001F2D89">
        <w:rPr>
          <w:rFonts w:ascii="Times New Roman" w:eastAsia="Times New Roman" w:hAnsi="Times New Roman" w:cs="Times New Roman"/>
          <w:spacing w:val="-2"/>
          <w:kern w:val="0"/>
          <w14:ligatures w14:val="none"/>
        </w:rPr>
        <w:t>Confirmatory Factor Analysis (CFA): All constructs demonstrated AVE&gt;0.50, CR&gt;0.80, supporting convergent validity. Discriminant validity established. Model fit: χ²/df=2.48, CFI=0.92, RMSEA=0.062.</w:t>
      </w:r>
    </w:p>
    <w:p w14:paraId="2389ACBE"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Direct Effects: Underlying factors→resilience-based curriculum planning: β=0.65, p&lt;0.001. Resilience-based curriculum planning→professional skills: β=0.42, p&lt;0.001. Underlying factors→emotional literacy: β=0.52, p&lt;0.001. Emotional literacy→professional skills: β=0.61, p&lt;0.001. Direct effect underlying factors→professional skills: β=0.28, p&lt;0.001.</w:t>
      </w:r>
    </w:p>
    <w:p w14:paraId="73B4BC5A" w14:textId="77777777" w:rsidR="00BA047A" w:rsidRPr="001F2D89" w:rsidRDefault="00BA047A" w:rsidP="00AF3D09">
      <w:pPr>
        <w:spacing w:after="0" w:line="240" w:lineRule="auto"/>
        <w:ind w:firstLine="284"/>
        <w:jc w:val="both"/>
        <w:rPr>
          <w:rFonts w:ascii="Times New Roman" w:eastAsia="Times New Roman" w:hAnsi="Times New Roman" w:cs="Times New Roman"/>
          <w:spacing w:val="-2"/>
          <w:kern w:val="0"/>
          <w14:ligatures w14:val="none"/>
        </w:rPr>
      </w:pPr>
      <w:r w:rsidRPr="001F2D89">
        <w:rPr>
          <w:rFonts w:ascii="Times New Roman" w:eastAsia="Times New Roman" w:hAnsi="Times New Roman" w:cs="Times New Roman"/>
          <w:spacing w:val="-2"/>
          <w:kern w:val="0"/>
          <w14:ligatures w14:val="none"/>
        </w:rPr>
        <w:t>Mediation (Bootstrap 5,000): Indirect effect underlying factors→professional skills through emotional literacy was significant (0.32, 95% CI: 0.21-0.44). Confidence interval excluding zero confirmed mediation.</w:t>
      </w:r>
    </w:p>
    <w:p w14:paraId="61C03A95" w14:textId="6D76F679" w:rsidR="005C76D2" w:rsidRPr="001F2D89" w:rsidRDefault="00BA047A" w:rsidP="00AF3D09">
      <w:pPr>
        <w:spacing w:after="0" w:line="240" w:lineRule="auto"/>
        <w:ind w:firstLine="284"/>
        <w:jc w:val="both"/>
        <w:rPr>
          <w:rFonts w:ascii="Times New Roman" w:eastAsia="Times New Roman" w:hAnsi="Times New Roman" w:cs="Times New Roman"/>
          <w:spacing w:val="-2"/>
          <w:kern w:val="0"/>
          <w14:ligatures w14:val="none"/>
        </w:rPr>
      </w:pPr>
      <w:r w:rsidRPr="001F2D89">
        <w:rPr>
          <w:rFonts w:ascii="Times New Roman" w:eastAsia="Times New Roman" w:hAnsi="Times New Roman" w:cs="Times New Roman"/>
          <w:spacing w:val="-2"/>
          <w:kern w:val="0"/>
          <w14:ligatures w14:val="none"/>
        </w:rPr>
        <w:t>Summary Effects: Total effect underlying factors→professional skills=0.60 (direct 0.28, indirect 0.32). Final model fit: RMSEA=0.058, CFI=0.93</w:t>
      </w:r>
      <w:r w:rsidR="00D24280" w:rsidRPr="001F2D89">
        <w:rPr>
          <w:rFonts w:ascii="Times New Roman" w:eastAsia="Times New Roman" w:hAnsi="Times New Roman" w:cs="Times New Roman"/>
          <w:spacing w:val="-2"/>
          <w:kern w:val="0"/>
          <w14:ligatures w14:val="none"/>
        </w:rPr>
        <w:t>.</w:t>
      </w:r>
    </w:p>
    <w:p w14:paraId="20E1EB7E" w14:textId="77777777" w:rsidR="00BA047A" w:rsidRPr="001F2D89" w:rsidRDefault="00BA047A" w:rsidP="00AF3D09">
      <w:pPr>
        <w:spacing w:before="120" w:after="0" w:line="240" w:lineRule="auto"/>
        <w:jc w:val="both"/>
        <w:rPr>
          <w:rFonts w:ascii="Times New Roman" w:eastAsia="Times New Roman" w:hAnsi="Times New Roman" w:cs="Times New Roman"/>
          <w:spacing w:val="-2"/>
          <w:kern w:val="0"/>
          <w14:ligatures w14:val="none"/>
        </w:rPr>
      </w:pPr>
      <w:r w:rsidRPr="001F2D89">
        <w:rPr>
          <w:rFonts w:ascii="Times New Roman Bold" w:eastAsia="Times New Roman" w:hAnsi="Times New Roman Bold" w:cs="IRMitra"/>
          <w:b/>
          <w:bCs/>
          <w:color w:val="3366CC"/>
          <w:spacing w:val="-2"/>
          <w:kern w:val="0"/>
          <w14:ligatures w14:val="none"/>
        </w:rPr>
        <w:t>Conclusion</w:t>
      </w:r>
      <w:r w:rsidR="005C76D2" w:rsidRPr="001F2D89">
        <w:rPr>
          <w:rFonts w:ascii="Times New Roman Bold" w:eastAsia="Times New Roman" w:hAnsi="Times New Roman Bold" w:cs="IRMitra"/>
          <w:b/>
          <w:bCs/>
          <w:color w:val="3366CC"/>
          <w:spacing w:val="-2"/>
          <w:kern w:val="0"/>
          <w14:ligatures w14:val="none"/>
        </w:rPr>
        <w:t xml:space="preserve"> and Recommendations</w:t>
      </w:r>
      <w:r w:rsidR="005C76D2" w:rsidRPr="001F2D89">
        <w:rPr>
          <w:rFonts w:ascii="Times New Roman" w:eastAsia="Calibri" w:hAnsi="Times New Roman" w:cs="Times New Roman"/>
          <w:b/>
          <w:bCs/>
          <w:color w:val="4472C4"/>
          <w:spacing w:val="-2"/>
          <w:kern w:val="0"/>
          <w14:ligatures w14:val="none"/>
        </w:rPr>
        <w:t>:</w:t>
      </w:r>
      <w:r w:rsidR="005C76D2" w:rsidRPr="001F2D89">
        <w:rPr>
          <w:rFonts w:ascii="Times New Roman" w:eastAsia="Calibri" w:hAnsi="Times New Roman" w:cs="Times New Roman"/>
          <w:color w:val="4472C4"/>
          <w:spacing w:val="-2"/>
          <w:kern w:val="0"/>
          <w14:ligatures w14:val="none"/>
        </w:rPr>
        <w:t xml:space="preserve"> </w:t>
      </w:r>
      <w:r w:rsidRPr="001F2D89">
        <w:rPr>
          <w:rFonts w:ascii="Times New Roman" w:eastAsia="Times New Roman" w:hAnsi="Times New Roman" w:cs="Times New Roman"/>
          <w:spacing w:val="-2"/>
          <w:kern w:val="0"/>
          <w14:ligatures w14:val="none"/>
        </w:rPr>
        <w:t>Results supported all hypotheses. H1 confirmed underlying factors significantly predicted resilience-based curriculum planning (β=0.65), aligning with Mousavi (2023) Organizational factors showed stronger predictive weight than individual factors, attributable to Iran's centralized system requiring school management support. The indirect effect through emotional literacy (0.32) nearly equaled direct effect (0.28), indicating emotional capacity matters as much as structural factors—a novel finding.</w:t>
      </w:r>
    </w:p>
    <w:p w14:paraId="1613F1C8"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H2 confirmed underlying factors significantly predicted emotional literacy, aligning with Zeinabadi and Khebreh (2019) and Vafa et al., (2014). Based on Bar-On's theory (1997), emotional literacy develops through organizational context interaction. Emotional regulation was most influenced, suggesting organizational support helps teachers manage emotions.</w:t>
      </w:r>
    </w:p>
    <w:p w14:paraId="162F3131" w14:textId="77777777" w:rsidR="00BA047A" w:rsidRPr="001F2D89" w:rsidRDefault="00BA047A" w:rsidP="00AF3D09">
      <w:pPr>
        <w:spacing w:after="0" w:line="240" w:lineRule="auto"/>
        <w:ind w:firstLine="284"/>
        <w:jc w:val="both"/>
        <w:rPr>
          <w:rFonts w:ascii="Times New Roman" w:eastAsia="Times New Roman" w:hAnsi="Times New Roman" w:cs="Times New Roman"/>
          <w:kern w:val="0"/>
          <w14:ligatures w14:val="none"/>
        </w:rPr>
      </w:pPr>
      <w:r w:rsidRPr="001F2D89">
        <w:rPr>
          <w:rFonts w:ascii="Times New Roman" w:eastAsia="Times New Roman" w:hAnsi="Times New Roman" w:cs="Times New Roman"/>
          <w:kern w:val="0"/>
          <w14:ligatures w14:val="none"/>
        </w:rPr>
        <w:t>H3 confirmed emotional literacy's strong effect on professional skills (β=0.61), consistent with Wang &amp; Wang (2023), Brackett et al. (2023) and Dejban et al. (2019). Based on Jennings and Greenberg's (2009) model, emotional literacy functions as an "energy converter." Empathy most influenced effective communication, while emotional regulation most predicted classroom management.</w:t>
      </w:r>
    </w:p>
    <w:p w14:paraId="2694588A" w14:textId="2B7EECBC" w:rsidR="005C76D2" w:rsidRPr="001F2D89" w:rsidRDefault="00BA047A" w:rsidP="00AF3D09">
      <w:pPr>
        <w:spacing w:after="0" w:line="240" w:lineRule="auto"/>
        <w:ind w:firstLine="284"/>
        <w:jc w:val="both"/>
        <w:rPr>
          <w:rFonts w:ascii="Times New Roman" w:eastAsia="Times New Roman" w:hAnsi="Times New Roman" w:cs="Times New Roman"/>
          <w:spacing w:val="-4"/>
          <w:kern w:val="0"/>
          <w14:ligatures w14:val="none"/>
        </w:rPr>
      </w:pPr>
      <w:r w:rsidRPr="001F2D89">
        <w:rPr>
          <w:rFonts w:ascii="Times New Roman" w:eastAsia="Times New Roman" w:hAnsi="Times New Roman" w:cs="Times New Roman"/>
          <w:kern w:val="0"/>
          <w14:ligatures w14:val="none"/>
        </w:rPr>
        <w:t>Mediation was confirmed, with indirect effect (0.32) larger than direct effect (0.28), aligning with Brackett et al. (2023) and Lu et al. (2024). Based on Bandura's social cognitive theory, organizational/programmatic support must internalize within teachers' psychology to translate into sustained professional behaviors.</w:t>
      </w:r>
    </w:p>
    <w:p w14:paraId="263F113C" w14:textId="77777777" w:rsidR="00BA047A" w:rsidRPr="001F2D89" w:rsidRDefault="005C76D2" w:rsidP="00BA047A">
      <w:pPr>
        <w:spacing w:before="120" w:after="0" w:line="240" w:lineRule="auto"/>
        <w:jc w:val="both"/>
        <w:outlineLvl w:val="1"/>
        <w:rPr>
          <w:rFonts w:ascii="Times New Roman" w:eastAsia="Calibri" w:hAnsi="Times New Roman" w:cs="Times New Roman"/>
          <w:b/>
          <w:bCs/>
          <w:color w:val="4472C4"/>
          <w:kern w:val="0"/>
          <w14:ligatures w14:val="none"/>
        </w:rPr>
      </w:pPr>
      <w:r w:rsidRPr="001F2D89">
        <w:rPr>
          <w:rFonts w:ascii="Times New Roman" w:eastAsia="Calibri" w:hAnsi="Times New Roman" w:cs="Times New Roman"/>
          <w:b/>
          <w:bCs/>
          <w:color w:val="4472C4"/>
          <w:kern w:val="0"/>
          <w14:ligatures w14:val="none"/>
        </w:rPr>
        <w:t>Ethical Considerations:</w:t>
      </w:r>
      <w:r w:rsidRPr="001F2D89">
        <w:rPr>
          <w:rFonts w:ascii="Calibri" w:eastAsia="Calibri" w:hAnsi="Calibri" w:cs="Arial"/>
          <w:kern w:val="0"/>
          <w14:ligatures w14:val="none"/>
        </w:rPr>
        <w:t xml:space="preserve"> </w:t>
      </w:r>
      <w:r w:rsidR="00BA047A" w:rsidRPr="001F2D89">
        <w:rPr>
          <w:rFonts w:ascii="Times New Roman" w:eastAsia="Times New Roman" w:hAnsi="Times New Roman" w:cs="Times New Roman"/>
          <w:kern w:val="0"/>
          <w14:ligatures w14:val="none"/>
        </w:rPr>
        <w:t>Ethical considerations were observed throughout the research process, including obtaining informed consent from participants, ensuring the confidentiality of data, and guaranteeing voluntary participation in the interviews</w:t>
      </w:r>
      <w:r w:rsidR="009D245B" w:rsidRPr="001F2D89">
        <w:rPr>
          <w:rFonts w:ascii="Times New Roman" w:eastAsia="Times New Roman" w:hAnsi="Times New Roman" w:cs="Times New Roman"/>
          <w:kern w:val="0"/>
          <w14:ligatures w14:val="none"/>
        </w:rPr>
        <w:t>.</w:t>
      </w:r>
      <w:r w:rsidR="00BA047A" w:rsidRPr="001F2D89">
        <w:rPr>
          <w:rFonts w:ascii="Times New Roman" w:eastAsia="Calibri" w:hAnsi="Times New Roman" w:cs="Times New Roman"/>
          <w:b/>
          <w:bCs/>
          <w:color w:val="4472C4"/>
          <w:kern w:val="0"/>
          <w14:ligatures w14:val="none"/>
        </w:rPr>
        <w:t xml:space="preserve"> </w:t>
      </w:r>
    </w:p>
    <w:p w14:paraId="24157AE1" w14:textId="3C3AD698" w:rsidR="005C76D2" w:rsidRPr="001F2D89" w:rsidRDefault="00BA047A" w:rsidP="00BA047A">
      <w:pPr>
        <w:spacing w:before="120" w:after="0" w:line="240" w:lineRule="auto"/>
        <w:jc w:val="both"/>
        <w:outlineLvl w:val="1"/>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Funding:</w:t>
      </w:r>
      <w:r w:rsidRPr="001F2D89">
        <w:rPr>
          <w:rFonts w:ascii="Calibri" w:eastAsia="Calibri" w:hAnsi="Calibri" w:cs="Arial"/>
          <w:kern w:val="0"/>
          <w14:ligatures w14:val="none"/>
        </w:rPr>
        <w:t xml:space="preserve"> </w:t>
      </w:r>
      <w:r w:rsidRPr="001F2D89">
        <w:rPr>
          <w:rFonts w:ascii="Times New Roman" w:eastAsia="Times New Roman" w:hAnsi="Times New Roman" w:cs="Times New Roman"/>
        </w:rPr>
        <w:t>Conducted without institutional financial support</w:t>
      </w:r>
      <w:r w:rsidRPr="001F2D89">
        <w:rPr>
          <w:rFonts w:ascii="Times New Roman" w:eastAsia="Times New Roman" w:hAnsi="Times New Roman" w:cs="Times New Roman"/>
          <w:kern w:val="0"/>
          <w14:ligatures w14:val="none"/>
        </w:rPr>
        <w:t>.</w:t>
      </w:r>
    </w:p>
    <w:p w14:paraId="1743BBD1" w14:textId="7C003CC9" w:rsidR="005C76D2" w:rsidRPr="001F2D89" w:rsidRDefault="00BA047A" w:rsidP="005C76D2">
      <w:pPr>
        <w:spacing w:before="12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 xml:space="preserve">Role of Each </w:t>
      </w:r>
      <w:r w:rsidR="005C76D2" w:rsidRPr="001F2D89">
        <w:rPr>
          <w:rFonts w:ascii="Times New Roman" w:eastAsia="Calibri" w:hAnsi="Times New Roman" w:cs="Times New Roman"/>
          <w:b/>
          <w:bCs/>
          <w:color w:val="4472C4"/>
          <w:kern w:val="0"/>
          <w14:ligatures w14:val="none"/>
        </w:rPr>
        <w:t xml:space="preserve">Author: </w:t>
      </w:r>
      <w:r w:rsidRPr="001F2D89">
        <w:rPr>
          <w:rFonts w:ascii="Times New Roman" w:eastAsia="Times New Roman" w:hAnsi="Times New Roman" w:cs="Times New Roman"/>
          <w:kern w:val="0"/>
          <w14:ligatures w14:val="none"/>
        </w:rPr>
        <w:t>All sections of this article have been organized and compiled by the author</w:t>
      </w:r>
      <w:r w:rsidR="009D245B" w:rsidRPr="001F2D89">
        <w:rPr>
          <w:rFonts w:ascii="Times New Roman" w:eastAsia="Times New Roman" w:hAnsi="Times New Roman" w:cs="Times New Roman"/>
          <w:kern w:val="0"/>
          <w14:ligatures w14:val="none"/>
        </w:rPr>
        <w:t>.</w:t>
      </w:r>
    </w:p>
    <w:p w14:paraId="1C88F5AE" w14:textId="09A0AC15" w:rsidR="005C76D2" w:rsidRPr="001F2D89" w:rsidRDefault="005C76D2" w:rsidP="005C76D2">
      <w:pPr>
        <w:spacing w:before="12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 xml:space="preserve">Conflict of Interest: </w:t>
      </w:r>
      <w:r w:rsidR="00BA047A" w:rsidRPr="001F2D89">
        <w:rPr>
          <w:rFonts w:ascii="Times New Roman" w:eastAsia="Times New Roman" w:hAnsi="Times New Roman" w:cs="Times New Roman"/>
          <w:kern w:val="0"/>
          <w14:ligatures w14:val="none"/>
        </w:rPr>
        <w:t>None declared.</w:t>
      </w:r>
    </w:p>
    <w:p w14:paraId="4D45C2E4" w14:textId="75D178C5" w:rsidR="005C76D2" w:rsidRPr="001F2D89" w:rsidRDefault="005C76D2" w:rsidP="005C76D2">
      <w:pPr>
        <w:spacing w:before="12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Acknowledgements:</w:t>
      </w:r>
      <w:r w:rsidRPr="001F2D89">
        <w:rPr>
          <w:rFonts w:ascii="Times New Roman" w:eastAsia="Calibri" w:hAnsi="Times New Roman" w:cs="Times New Roman"/>
          <w:b/>
          <w:bCs/>
          <w:color w:val="0000FF"/>
          <w:kern w:val="0"/>
          <w14:ligatures w14:val="none"/>
        </w:rPr>
        <w:t xml:space="preserve"> </w:t>
      </w:r>
      <w:r w:rsidR="00BA047A" w:rsidRPr="001F2D89">
        <w:rPr>
          <w:rFonts w:ascii="Times New Roman" w:eastAsia="Times New Roman" w:hAnsi="Times New Roman" w:cs="Times New Roman"/>
          <w:kern w:val="0"/>
          <w14:ligatures w14:val="none"/>
        </w:rPr>
        <w:t>Sincere thanks to all teachers, principals, and Kerman Province education experts</w:t>
      </w:r>
      <w:r w:rsidR="00D24280" w:rsidRPr="001F2D89">
        <w:rPr>
          <w:rFonts w:ascii="Times New Roman" w:eastAsia="Times New Roman" w:hAnsi="Times New Roman" w:cs="Times New Roman"/>
          <w:kern w:val="0"/>
          <w14:ligatures w14:val="none"/>
        </w:rPr>
        <w:t>.</w:t>
      </w:r>
    </w:p>
    <w:p w14:paraId="1BC35B24" w14:textId="77777777" w:rsidR="005C76D2" w:rsidRPr="001F2D89" w:rsidRDefault="005C76D2" w:rsidP="005C76D2">
      <w:pPr>
        <w:spacing w:after="0" w:line="240" w:lineRule="auto"/>
      </w:pPr>
    </w:p>
    <w:p w14:paraId="75AA58ED" w14:textId="77777777" w:rsidR="005C76D2" w:rsidRPr="001F2D89" w:rsidRDefault="005C76D2" w:rsidP="005C76D2">
      <w:pPr>
        <w:spacing w:after="0" w:line="240" w:lineRule="auto"/>
        <w:sectPr w:rsidR="005C76D2" w:rsidRPr="001F2D8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0BDA30FA" w14:textId="77777777" w:rsidR="005C76D2" w:rsidRPr="005C76D2" w:rsidRDefault="005C76D2" w:rsidP="005C76D2">
      <w:pPr>
        <w:spacing w:after="0" w:line="240" w:lineRule="auto"/>
        <w:rPr>
          <w:rFonts w:cs="B Nazanin"/>
          <w:sz w:val="24"/>
          <w:szCs w:val="24"/>
        </w:rPr>
      </w:pPr>
    </w:p>
    <w:sectPr w:rsidR="005C76D2" w:rsidRPr="005C76D2" w:rsidSect="00B61B02">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16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40BE0" w14:textId="77777777" w:rsidR="00EC5302" w:rsidRPr="001F2D89" w:rsidRDefault="00EC5302" w:rsidP="005C76D2">
      <w:pPr>
        <w:spacing w:after="0" w:line="240" w:lineRule="auto"/>
      </w:pPr>
      <w:r w:rsidRPr="001F2D89">
        <w:separator/>
      </w:r>
    </w:p>
  </w:endnote>
  <w:endnote w:type="continuationSeparator" w:id="0">
    <w:p w14:paraId="62317483" w14:textId="77777777" w:rsidR="00EC5302" w:rsidRPr="001F2D89" w:rsidRDefault="00EC5302" w:rsidP="005C76D2">
      <w:pPr>
        <w:spacing w:after="0" w:line="240" w:lineRule="auto"/>
      </w:pPr>
      <w:r w:rsidRPr="001F2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77777777" w:rsidR="00C34ED1" w:rsidRPr="001F2D8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8CAF250" w:rsidR="00C34ED1" w:rsidRPr="001F2D8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4A0B6B" w:rsidRPr="001F2D8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4A0B6B" w:rsidRPr="001F2D8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10A32" w14:textId="77777777" w:rsidR="00EC5302" w:rsidRPr="001F2D89" w:rsidRDefault="00EC5302" w:rsidP="005C76D2">
      <w:pPr>
        <w:spacing w:after="0" w:line="240" w:lineRule="auto"/>
      </w:pPr>
      <w:r w:rsidRPr="001F2D89">
        <w:separator/>
      </w:r>
    </w:p>
  </w:footnote>
  <w:footnote w:type="continuationSeparator" w:id="0">
    <w:p w14:paraId="7B4D1BEF" w14:textId="77777777" w:rsidR="00EC5302" w:rsidRPr="001F2D89" w:rsidRDefault="00EC5302" w:rsidP="005C76D2">
      <w:pPr>
        <w:spacing w:after="0" w:line="240" w:lineRule="auto"/>
      </w:pPr>
      <w:r w:rsidRPr="001F2D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E44E69">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E44E69">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689E0D26" w14:textId="4CAFF1A9" w:rsidR="004A0B6B" w:rsidRPr="001F2D89" w:rsidRDefault="00C5566F" w:rsidP="007B034D">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b/>
                                    <w:bCs/>
                                    <w:rtl/>
                                  </w:rPr>
                                  <w:t>مدل عوامل زم</w:t>
                                </w:r>
                                <w:r w:rsidRPr="001F2D89">
                                  <w:rPr>
                                    <w:rFonts w:ascii="Times New Roman" w:hAnsi="Times New Roman" w:cs="B Nazanin" w:hint="cs"/>
                                    <w:b/>
                                    <w:bCs/>
                                    <w:rtl/>
                                  </w:rPr>
                                  <w:t>ی</w:t>
                                </w:r>
                                <w:r w:rsidRPr="001F2D89">
                                  <w:rPr>
                                    <w:rFonts w:ascii="Times New Roman" w:hAnsi="Times New Roman" w:cs="B Nazanin" w:hint="eastAsia"/>
                                    <w:b/>
                                    <w:bCs/>
                                    <w:rtl/>
                                  </w:rPr>
                                  <w:t>نه‌ساز</w:t>
                                </w:r>
                                <w:r w:rsidRPr="001F2D89">
                                  <w:rPr>
                                    <w:rFonts w:ascii="Times New Roman" w:hAnsi="Times New Roman" w:cs="B Nazanin"/>
                                    <w:b/>
                                    <w:bCs/>
                                    <w:rtl/>
                                  </w:rPr>
                                  <w:t xml:space="preserve"> برنامه‌ر</w:t>
                                </w:r>
                                <w:r w:rsidRPr="001F2D89">
                                  <w:rPr>
                                    <w:rFonts w:ascii="Times New Roman" w:hAnsi="Times New Roman" w:cs="B Nazanin" w:hint="cs"/>
                                    <w:b/>
                                    <w:bCs/>
                                    <w:rtl/>
                                  </w:rPr>
                                  <w:t>ی</w:t>
                                </w:r>
                                <w:r w:rsidRPr="001F2D89">
                                  <w:rPr>
                                    <w:rFonts w:ascii="Times New Roman" w:hAnsi="Times New Roman" w:cs="B Nazanin" w:hint="eastAsia"/>
                                    <w:b/>
                                    <w:bCs/>
                                    <w:rtl/>
                                  </w:rPr>
                                  <w:t>ز</w:t>
                                </w:r>
                                <w:r w:rsidRPr="001F2D89">
                                  <w:rPr>
                                    <w:rFonts w:ascii="Times New Roman" w:hAnsi="Times New Roman" w:cs="B Nazanin" w:hint="cs"/>
                                    <w:b/>
                                    <w:bCs/>
                                    <w:rtl/>
                                  </w:rPr>
                                  <w:t>ی</w:t>
                                </w:r>
                                <w:r w:rsidRPr="001F2D89">
                                  <w:rPr>
                                    <w:rFonts w:ascii="Times New Roman" w:hAnsi="Times New Roman" w:cs="B Nazanin"/>
                                    <w:b/>
                                    <w:bCs/>
                                    <w:rtl/>
                                  </w:rPr>
                                  <w:t xml:space="preserve"> درس</w:t>
                                </w:r>
                                <w:r w:rsidRPr="001F2D89">
                                  <w:rPr>
                                    <w:rFonts w:ascii="Times New Roman" w:hAnsi="Times New Roman" w:cs="B Nazanin" w:hint="cs"/>
                                    <w:b/>
                                    <w:bCs/>
                                    <w:rtl/>
                                  </w:rPr>
                                  <w:t>ی</w:t>
                                </w:r>
                                <w:r w:rsidRPr="001F2D89">
                                  <w:rPr>
                                    <w:rFonts w:ascii="Times New Roman" w:hAnsi="Times New Roman" w:cs="B Nazanin"/>
                                    <w:b/>
                                    <w:bCs/>
                                    <w:rtl/>
                                  </w:rPr>
                                  <w:t xml:space="preserve"> تاب‌آور با نقش م</w:t>
                                </w:r>
                                <w:r w:rsidRPr="001F2D89">
                                  <w:rPr>
                                    <w:rFonts w:ascii="Times New Roman" w:hAnsi="Times New Roman" w:cs="B Nazanin" w:hint="cs"/>
                                    <w:b/>
                                    <w:bCs/>
                                    <w:rtl/>
                                  </w:rPr>
                                  <w:t>ی</w:t>
                                </w:r>
                                <w:r w:rsidRPr="001F2D89">
                                  <w:rPr>
                                    <w:rFonts w:ascii="Times New Roman" w:hAnsi="Times New Roman" w:cs="B Nazanin" w:hint="eastAsia"/>
                                    <w:b/>
                                    <w:bCs/>
                                    <w:rtl/>
                                  </w:rPr>
                                  <w:t>انج</w:t>
                                </w:r>
                                <w:r w:rsidRPr="001F2D89">
                                  <w:rPr>
                                    <w:rFonts w:ascii="Times New Roman" w:hAnsi="Times New Roman" w:cs="B Nazanin" w:hint="cs"/>
                                    <w:b/>
                                    <w:bCs/>
                                    <w:rtl/>
                                  </w:rPr>
                                  <w:t>ی...</w:t>
                                </w:r>
                              </w:p>
                              <w:p w14:paraId="126B6850"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E44E69">
                                  <w:rPr>
                                    <w:rFonts w:ascii="IRNumber" w:hAnsi="IRNumber" w:cs="B Nazanin"/>
                                    <w:b/>
                                    <w:bCs/>
                                    <w:sz w:val="28"/>
                                    <w:szCs w:val="28"/>
                                    <w:rtl/>
                                    <w:lang w:bidi="fa-IR"/>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689E0D26" w14:textId="4CAFF1A9" w:rsidR="004A0B6B" w:rsidRPr="001F2D89" w:rsidRDefault="00C5566F" w:rsidP="007B034D">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b/>
                              <w:bCs/>
                              <w:rtl/>
                            </w:rPr>
                            <w:t>مدل عوامل زم</w:t>
                          </w:r>
                          <w:r w:rsidRPr="001F2D89">
                            <w:rPr>
                              <w:rFonts w:ascii="Times New Roman" w:hAnsi="Times New Roman" w:cs="B Nazanin" w:hint="cs"/>
                              <w:b/>
                              <w:bCs/>
                              <w:rtl/>
                            </w:rPr>
                            <w:t>ی</w:t>
                          </w:r>
                          <w:r w:rsidRPr="001F2D89">
                            <w:rPr>
                              <w:rFonts w:ascii="Times New Roman" w:hAnsi="Times New Roman" w:cs="B Nazanin" w:hint="eastAsia"/>
                              <w:b/>
                              <w:bCs/>
                              <w:rtl/>
                            </w:rPr>
                            <w:t>نه‌ساز</w:t>
                          </w:r>
                          <w:r w:rsidRPr="001F2D89">
                            <w:rPr>
                              <w:rFonts w:ascii="Times New Roman" w:hAnsi="Times New Roman" w:cs="B Nazanin"/>
                              <w:b/>
                              <w:bCs/>
                              <w:rtl/>
                            </w:rPr>
                            <w:t xml:space="preserve"> برنامه‌ر</w:t>
                          </w:r>
                          <w:r w:rsidRPr="001F2D89">
                            <w:rPr>
                              <w:rFonts w:ascii="Times New Roman" w:hAnsi="Times New Roman" w:cs="B Nazanin" w:hint="cs"/>
                              <w:b/>
                              <w:bCs/>
                              <w:rtl/>
                            </w:rPr>
                            <w:t>ی</w:t>
                          </w:r>
                          <w:r w:rsidRPr="001F2D89">
                            <w:rPr>
                              <w:rFonts w:ascii="Times New Roman" w:hAnsi="Times New Roman" w:cs="B Nazanin" w:hint="eastAsia"/>
                              <w:b/>
                              <w:bCs/>
                              <w:rtl/>
                            </w:rPr>
                            <w:t>ز</w:t>
                          </w:r>
                          <w:r w:rsidRPr="001F2D89">
                            <w:rPr>
                              <w:rFonts w:ascii="Times New Roman" w:hAnsi="Times New Roman" w:cs="B Nazanin" w:hint="cs"/>
                              <w:b/>
                              <w:bCs/>
                              <w:rtl/>
                            </w:rPr>
                            <w:t>ی</w:t>
                          </w:r>
                          <w:r w:rsidRPr="001F2D89">
                            <w:rPr>
                              <w:rFonts w:ascii="Times New Roman" w:hAnsi="Times New Roman" w:cs="B Nazanin"/>
                              <w:b/>
                              <w:bCs/>
                              <w:rtl/>
                            </w:rPr>
                            <w:t xml:space="preserve"> درس</w:t>
                          </w:r>
                          <w:r w:rsidRPr="001F2D89">
                            <w:rPr>
                              <w:rFonts w:ascii="Times New Roman" w:hAnsi="Times New Roman" w:cs="B Nazanin" w:hint="cs"/>
                              <w:b/>
                              <w:bCs/>
                              <w:rtl/>
                            </w:rPr>
                            <w:t>ی</w:t>
                          </w:r>
                          <w:r w:rsidRPr="001F2D89">
                            <w:rPr>
                              <w:rFonts w:ascii="Times New Roman" w:hAnsi="Times New Roman" w:cs="B Nazanin"/>
                              <w:b/>
                              <w:bCs/>
                              <w:rtl/>
                            </w:rPr>
                            <w:t xml:space="preserve"> تاب‌آور با نقش م</w:t>
                          </w:r>
                          <w:r w:rsidRPr="001F2D89">
                            <w:rPr>
                              <w:rFonts w:ascii="Times New Roman" w:hAnsi="Times New Roman" w:cs="B Nazanin" w:hint="cs"/>
                              <w:b/>
                              <w:bCs/>
                              <w:rtl/>
                            </w:rPr>
                            <w:t>ی</w:t>
                          </w:r>
                          <w:r w:rsidRPr="001F2D89">
                            <w:rPr>
                              <w:rFonts w:ascii="Times New Roman" w:hAnsi="Times New Roman" w:cs="B Nazanin" w:hint="eastAsia"/>
                              <w:b/>
                              <w:bCs/>
                              <w:rtl/>
                            </w:rPr>
                            <w:t>انج</w:t>
                          </w:r>
                          <w:r w:rsidRPr="001F2D89">
                            <w:rPr>
                              <w:rFonts w:ascii="Times New Roman" w:hAnsi="Times New Roman" w:cs="B Nazanin" w:hint="cs"/>
                              <w:b/>
                              <w:bCs/>
                              <w:rtl/>
                            </w:rPr>
                            <w:t>ی...</w:t>
                          </w:r>
                        </w:p>
                        <w:p w14:paraId="126B6850"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E44E69">
                            <w:rPr>
                              <w:rFonts w:ascii="IRNumber" w:hAnsi="IRNumber" w:cs="B Nazanin"/>
                              <w:b/>
                              <w:bCs/>
                              <w:sz w:val="28"/>
                              <w:szCs w:val="28"/>
                              <w:rtl/>
                              <w:lang w:bidi="fa-IR"/>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E44E69">
                                  <w:rPr>
                                    <w:rFonts w:ascii="IRNumber" w:hAnsi="IRNumber" w:cs="B Nazanin"/>
                                    <w:b/>
                                    <w:bCs/>
                                    <w:sz w:val="28"/>
                                    <w:szCs w:val="28"/>
                                    <w:rtl/>
                                    <w:lang w:bidi="fa-IR"/>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E44E69">
                            <w:rPr>
                              <w:rFonts w:ascii="IRNumber" w:hAnsi="IRNumber" w:cs="B Nazanin"/>
                              <w:b/>
                              <w:bCs/>
                              <w:sz w:val="28"/>
                              <w:szCs w:val="28"/>
                              <w:rtl/>
                              <w:lang w:bidi="fa-IR"/>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2"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246C0"/>
    <w:rsid w:val="000314F3"/>
    <w:rsid w:val="00035036"/>
    <w:rsid w:val="000438FC"/>
    <w:rsid w:val="0005582A"/>
    <w:rsid w:val="00086757"/>
    <w:rsid w:val="000A7AF4"/>
    <w:rsid w:val="000B5651"/>
    <w:rsid w:val="000D5549"/>
    <w:rsid w:val="000D5D2B"/>
    <w:rsid w:val="000E03E2"/>
    <w:rsid w:val="0012337E"/>
    <w:rsid w:val="0013186D"/>
    <w:rsid w:val="00132059"/>
    <w:rsid w:val="00144017"/>
    <w:rsid w:val="00182EAE"/>
    <w:rsid w:val="00186A75"/>
    <w:rsid w:val="0019622E"/>
    <w:rsid w:val="001C5801"/>
    <w:rsid w:val="001C7B6E"/>
    <w:rsid w:val="001D2830"/>
    <w:rsid w:val="001F2D89"/>
    <w:rsid w:val="00254100"/>
    <w:rsid w:val="0026052B"/>
    <w:rsid w:val="0026085E"/>
    <w:rsid w:val="002D7EA3"/>
    <w:rsid w:val="00301B4A"/>
    <w:rsid w:val="0030523E"/>
    <w:rsid w:val="003117AB"/>
    <w:rsid w:val="003131A8"/>
    <w:rsid w:val="00314B67"/>
    <w:rsid w:val="00322DEA"/>
    <w:rsid w:val="00333FDE"/>
    <w:rsid w:val="00341369"/>
    <w:rsid w:val="00342E17"/>
    <w:rsid w:val="00346181"/>
    <w:rsid w:val="00347A5A"/>
    <w:rsid w:val="00355C21"/>
    <w:rsid w:val="00355EF6"/>
    <w:rsid w:val="003642EC"/>
    <w:rsid w:val="00376862"/>
    <w:rsid w:val="0039361A"/>
    <w:rsid w:val="003B17D9"/>
    <w:rsid w:val="003F3401"/>
    <w:rsid w:val="00401DCB"/>
    <w:rsid w:val="00413632"/>
    <w:rsid w:val="0042025C"/>
    <w:rsid w:val="00426822"/>
    <w:rsid w:val="00430A90"/>
    <w:rsid w:val="00432B45"/>
    <w:rsid w:val="00451298"/>
    <w:rsid w:val="00453DCB"/>
    <w:rsid w:val="004842C8"/>
    <w:rsid w:val="004A0B6B"/>
    <w:rsid w:val="004B558E"/>
    <w:rsid w:val="004E2C5E"/>
    <w:rsid w:val="00514838"/>
    <w:rsid w:val="005370CF"/>
    <w:rsid w:val="00544CB1"/>
    <w:rsid w:val="00583579"/>
    <w:rsid w:val="00597635"/>
    <w:rsid w:val="005B5981"/>
    <w:rsid w:val="005B6295"/>
    <w:rsid w:val="005B7A52"/>
    <w:rsid w:val="005C375C"/>
    <w:rsid w:val="005C76D2"/>
    <w:rsid w:val="005D3E12"/>
    <w:rsid w:val="005F11A5"/>
    <w:rsid w:val="00602DEF"/>
    <w:rsid w:val="006104A2"/>
    <w:rsid w:val="00640FC9"/>
    <w:rsid w:val="006A6476"/>
    <w:rsid w:val="006B34B5"/>
    <w:rsid w:val="006C234F"/>
    <w:rsid w:val="006D4B0E"/>
    <w:rsid w:val="006E5216"/>
    <w:rsid w:val="007100E9"/>
    <w:rsid w:val="007448BE"/>
    <w:rsid w:val="00744BF8"/>
    <w:rsid w:val="007655AA"/>
    <w:rsid w:val="007656E2"/>
    <w:rsid w:val="00792CD4"/>
    <w:rsid w:val="00793745"/>
    <w:rsid w:val="007977D8"/>
    <w:rsid w:val="007A322C"/>
    <w:rsid w:val="007B034D"/>
    <w:rsid w:val="008437F2"/>
    <w:rsid w:val="00893722"/>
    <w:rsid w:val="00893843"/>
    <w:rsid w:val="008B6E72"/>
    <w:rsid w:val="008F4A3B"/>
    <w:rsid w:val="00911AC5"/>
    <w:rsid w:val="0092003E"/>
    <w:rsid w:val="00920F30"/>
    <w:rsid w:val="009303A6"/>
    <w:rsid w:val="0095210E"/>
    <w:rsid w:val="0096395F"/>
    <w:rsid w:val="00967B37"/>
    <w:rsid w:val="009704DF"/>
    <w:rsid w:val="00976C71"/>
    <w:rsid w:val="00984C46"/>
    <w:rsid w:val="009A3D9B"/>
    <w:rsid w:val="009B090B"/>
    <w:rsid w:val="009C5004"/>
    <w:rsid w:val="009D01F6"/>
    <w:rsid w:val="009D245B"/>
    <w:rsid w:val="009D31F3"/>
    <w:rsid w:val="009E1B1E"/>
    <w:rsid w:val="00A045F2"/>
    <w:rsid w:val="00A13173"/>
    <w:rsid w:val="00A174F3"/>
    <w:rsid w:val="00A6768D"/>
    <w:rsid w:val="00A80D41"/>
    <w:rsid w:val="00A96867"/>
    <w:rsid w:val="00A96956"/>
    <w:rsid w:val="00AA5421"/>
    <w:rsid w:val="00AA78BB"/>
    <w:rsid w:val="00AB6C67"/>
    <w:rsid w:val="00AF26A2"/>
    <w:rsid w:val="00AF3D09"/>
    <w:rsid w:val="00B04AF9"/>
    <w:rsid w:val="00B13C6B"/>
    <w:rsid w:val="00B2096D"/>
    <w:rsid w:val="00B61B02"/>
    <w:rsid w:val="00B74C7A"/>
    <w:rsid w:val="00B8681D"/>
    <w:rsid w:val="00B94B1E"/>
    <w:rsid w:val="00BA047A"/>
    <w:rsid w:val="00BA3E1E"/>
    <w:rsid w:val="00C15C22"/>
    <w:rsid w:val="00C20003"/>
    <w:rsid w:val="00C2302E"/>
    <w:rsid w:val="00C24E33"/>
    <w:rsid w:val="00C26EC4"/>
    <w:rsid w:val="00C30836"/>
    <w:rsid w:val="00C34D4D"/>
    <w:rsid w:val="00C34ED1"/>
    <w:rsid w:val="00C462B9"/>
    <w:rsid w:val="00C4638B"/>
    <w:rsid w:val="00C526ED"/>
    <w:rsid w:val="00C5566F"/>
    <w:rsid w:val="00C71432"/>
    <w:rsid w:val="00C730C6"/>
    <w:rsid w:val="00CA3196"/>
    <w:rsid w:val="00CB2945"/>
    <w:rsid w:val="00CC555F"/>
    <w:rsid w:val="00D00041"/>
    <w:rsid w:val="00D05D13"/>
    <w:rsid w:val="00D07C42"/>
    <w:rsid w:val="00D12EB5"/>
    <w:rsid w:val="00D24280"/>
    <w:rsid w:val="00D76529"/>
    <w:rsid w:val="00D85D68"/>
    <w:rsid w:val="00DA0D56"/>
    <w:rsid w:val="00DB055D"/>
    <w:rsid w:val="00DB630A"/>
    <w:rsid w:val="00DD13D0"/>
    <w:rsid w:val="00DD7FC4"/>
    <w:rsid w:val="00E165EB"/>
    <w:rsid w:val="00E401AC"/>
    <w:rsid w:val="00E44E69"/>
    <w:rsid w:val="00E71055"/>
    <w:rsid w:val="00E956EA"/>
    <w:rsid w:val="00EA3A00"/>
    <w:rsid w:val="00EB40C3"/>
    <w:rsid w:val="00EB5D14"/>
    <w:rsid w:val="00EC5302"/>
    <w:rsid w:val="00ED66DF"/>
    <w:rsid w:val="00EE4EB3"/>
    <w:rsid w:val="00EF1E63"/>
    <w:rsid w:val="00EF7485"/>
    <w:rsid w:val="00F1246E"/>
    <w:rsid w:val="00F12D5F"/>
    <w:rsid w:val="00F1306B"/>
    <w:rsid w:val="00F15341"/>
    <w:rsid w:val="00F337E0"/>
    <w:rsid w:val="00F3399F"/>
    <w:rsid w:val="00F35E0E"/>
    <w:rsid w:val="00F67AF3"/>
    <w:rsid w:val="00FE1AF6"/>
    <w:rsid w:val="00FF14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 w:type="paragraph" w:customStyle="1" w:styleId="Body">
    <w:name w:val="Body"/>
    <w:basedOn w:val="Normal"/>
    <w:link w:val="BodyChar"/>
    <w:qFormat/>
    <w:rsid w:val="00BA047A"/>
    <w:pPr>
      <w:bidi/>
      <w:spacing w:after="0" w:line="276" w:lineRule="auto"/>
      <w:jc w:val="both"/>
    </w:pPr>
    <w:rPr>
      <w:rFonts w:ascii="Times New Roman" w:eastAsia="Calibri" w:hAnsi="Times New Roman" w:cs="B Nazanin"/>
      <w:noProof w:val="0"/>
      <w:kern w:val="0"/>
      <w:szCs w:val="24"/>
      <w14:ligatures w14:val="none"/>
    </w:rPr>
  </w:style>
  <w:style w:type="character" w:customStyle="1" w:styleId="BodyChar">
    <w:name w:val="Body Char"/>
    <w:link w:val="Body"/>
    <w:locked/>
    <w:rsid w:val="00BA047A"/>
    <w:rPr>
      <w:rFonts w:ascii="Times New Roman" w:eastAsia="Calibri" w:hAnsi="Times New Roman" w:cs="B Nazani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3</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20</cp:revision>
  <dcterms:created xsi:type="dcterms:W3CDTF">2026-08-02T08:08:00Z</dcterms:created>
  <dcterms:modified xsi:type="dcterms:W3CDTF">2026-09-18T19:49:00Z</dcterms:modified>
</cp:coreProperties>
</file>